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83" w:rsidRDefault="00EF3B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9639"/>
      </w:tblGrid>
      <w:tr w:rsidR="00EF3B83">
        <w:trPr>
          <w:jc w:val="center"/>
        </w:trPr>
        <w:tc>
          <w:tcPr>
            <w:tcW w:w="9639" w:type="dxa"/>
          </w:tcPr>
          <w:p w:rsidR="00EF3B83" w:rsidRDefault="00AC65D2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Job Description</w:t>
            </w:r>
          </w:p>
          <w:p w:rsidR="00EF3B83" w:rsidRDefault="00AC65D2">
            <w:pPr>
              <w:spacing w:line="240" w:lineRule="auto"/>
              <w:ind w:right="-108"/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Job Title: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z w:val="40"/>
                <w:szCs w:val="40"/>
              </w:rPr>
              <w:t xml:space="preserve">Art/Technology Technician  </w:t>
            </w:r>
          </w:p>
        </w:tc>
      </w:tr>
    </w:tbl>
    <w:p w:rsidR="00EF3B83" w:rsidRDefault="00EF3B83">
      <w:pPr>
        <w:rPr>
          <w:color w:val="000000"/>
          <w:sz w:val="8"/>
          <w:szCs w:val="8"/>
        </w:rPr>
      </w:pPr>
    </w:p>
    <w:tbl>
      <w:tblPr>
        <w:tblStyle w:val="a0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797"/>
        <w:gridCol w:w="1881"/>
        <w:gridCol w:w="2693"/>
      </w:tblGrid>
      <w:tr w:rsidR="00EF3B83">
        <w:trPr>
          <w:trHeight w:val="454"/>
        </w:trPr>
        <w:tc>
          <w:tcPr>
            <w:tcW w:w="1985" w:type="dxa"/>
            <w:shd w:val="clear" w:color="auto" w:fill="8DB3E2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Accountable to:</w:t>
            </w:r>
          </w:p>
        </w:tc>
        <w:tc>
          <w:tcPr>
            <w:tcW w:w="2797" w:type="dxa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Leader of Art/Technology</w:t>
            </w:r>
          </w:p>
        </w:tc>
        <w:tc>
          <w:tcPr>
            <w:tcW w:w="1881" w:type="dxa"/>
            <w:shd w:val="clear" w:color="auto" w:fill="8DB3E2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 type:</w:t>
            </w:r>
          </w:p>
        </w:tc>
        <w:tc>
          <w:tcPr>
            <w:tcW w:w="2693" w:type="dxa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Permanent, Part time</w:t>
            </w:r>
          </w:p>
        </w:tc>
      </w:tr>
      <w:tr w:rsidR="00EF3B83">
        <w:trPr>
          <w:trHeight w:val="454"/>
        </w:trPr>
        <w:tc>
          <w:tcPr>
            <w:tcW w:w="1985" w:type="dxa"/>
            <w:shd w:val="clear" w:color="auto" w:fill="8DB3E2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Salary/Grade:</w:t>
            </w:r>
          </w:p>
        </w:tc>
        <w:tc>
          <w:tcPr>
            <w:tcW w:w="2797" w:type="dxa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Band D SCP 4 - 5</w:t>
            </w:r>
          </w:p>
        </w:tc>
        <w:tc>
          <w:tcPr>
            <w:tcW w:w="1881" w:type="dxa"/>
            <w:shd w:val="clear" w:color="auto" w:fill="8DB3E2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Actual Salary</w:t>
            </w:r>
          </w:p>
        </w:tc>
        <w:tc>
          <w:tcPr>
            <w:tcW w:w="2693" w:type="dxa"/>
            <w:vAlign w:val="center"/>
          </w:tcPr>
          <w:p w:rsidR="00EF3B83" w:rsidRDefault="00AC65D2" w:rsidP="00AC65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£10,698.64</w:t>
            </w:r>
            <w:r>
              <w:rPr>
                <w:rFonts w:ascii="Arial" w:eastAsia="Arial" w:hAnsi="Arial" w:cs="Arial"/>
              </w:rPr>
              <w:t xml:space="preserve"> - £10,877.31</w:t>
            </w:r>
          </w:p>
        </w:tc>
      </w:tr>
      <w:tr w:rsidR="00EF3B83">
        <w:tc>
          <w:tcPr>
            <w:tcW w:w="1985" w:type="dxa"/>
            <w:shd w:val="clear" w:color="auto" w:fill="8DB3E2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Hours Of Work</w:t>
            </w:r>
          </w:p>
        </w:tc>
        <w:tc>
          <w:tcPr>
            <w:tcW w:w="7371" w:type="dxa"/>
            <w:gridSpan w:val="3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hours a week, 39 weeks per year.  Term time only plus Teacher Training Days</w:t>
            </w:r>
          </w:p>
        </w:tc>
      </w:tr>
      <w:tr w:rsidR="00EF3B83">
        <w:trPr>
          <w:trHeight w:val="454"/>
        </w:trPr>
        <w:tc>
          <w:tcPr>
            <w:tcW w:w="1985" w:type="dxa"/>
            <w:shd w:val="clear" w:color="auto" w:fill="8DB3E2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Liaising with:</w:t>
            </w:r>
          </w:p>
        </w:tc>
        <w:tc>
          <w:tcPr>
            <w:tcW w:w="7371" w:type="dxa"/>
            <w:gridSpan w:val="3"/>
            <w:vAlign w:val="center"/>
          </w:tcPr>
          <w:p w:rsidR="00EF3B83" w:rsidRDefault="00AC65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leaders, students, staff</w:t>
            </w:r>
          </w:p>
        </w:tc>
      </w:tr>
    </w:tbl>
    <w:p w:rsidR="00EF3B83" w:rsidRDefault="00EF3B83">
      <w:pPr>
        <w:spacing w:after="0"/>
        <w:rPr>
          <w:i/>
          <w:sz w:val="24"/>
          <w:szCs w:val="24"/>
        </w:rPr>
      </w:pPr>
    </w:p>
    <w:tbl>
      <w:tblPr>
        <w:tblStyle w:val="a1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EF3B83" w:rsidTr="00AC65D2">
        <w:tc>
          <w:tcPr>
            <w:tcW w:w="9356" w:type="dxa"/>
            <w:shd w:val="clear" w:color="auto" w:fill="8DB3E2"/>
            <w:vAlign w:val="center"/>
          </w:tcPr>
          <w:p w:rsidR="00EF3B83" w:rsidRDefault="00AC65D2" w:rsidP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Every member of staff is required to:</w:t>
            </w:r>
          </w:p>
        </w:tc>
      </w:tr>
      <w:tr w:rsidR="00EF3B83" w:rsidTr="00AC65D2">
        <w:tc>
          <w:tcPr>
            <w:tcW w:w="9356" w:type="dxa"/>
            <w:vAlign w:val="center"/>
          </w:tcPr>
          <w:p w:rsidR="00EF3B83" w:rsidRDefault="00AC65D2" w:rsidP="00AC6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Work towards and promote the vision, beliefs, aims and expectations of the school </w:t>
            </w:r>
          </w:p>
          <w:p w:rsidR="00EF3B83" w:rsidRDefault="00AC65D2" w:rsidP="00AC6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Support and contribute to the achievement of every child’s outcomes</w:t>
            </w:r>
          </w:p>
          <w:p w:rsidR="00EF3B83" w:rsidRDefault="00AC65D2" w:rsidP="00AC6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Support and contribute to establishing and maintaining a culture of safeguarding all students and promote the welfare of children</w:t>
            </w:r>
          </w:p>
          <w:p w:rsidR="00EF3B83" w:rsidRDefault="00AC65D2" w:rsidP="00AC6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Undertake any necessary professional development activitie</w:t>
            </w:r>
            <w:r>
              <w:rPr>
                <w:rFonts w:ascii="Arial" w:eastAsia="Arial" w:hAnsi="Arial" w:cs="Arial"/>
                <w:color w:val="000000"/>
              </w:rPr>
              <w:t>s to enhance personal development and performance</w:t>
            </w:r>
          </w:p>
          <w:p w:rsidR="00EF3B83" w:rsidRDefault="00AC65D2" w:rsidP="00AC6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Maintain high personal professional standards of attendance, punctuality, appearance, conduct and positive relations with students, parents and staff.</w:t>
            </w:r>
          </w:p>
        </w:tc>
      </w:tr>
    </w:tbl>
    <w:p w:rsidR="00EF3B83" w:rsidRDefault="00EF3B83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2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EF3B83" w:rsidTr="00AC65D2">
        <w:tc>
          <w:tcPr>
            <w:tcW w:w="9356" w:type="dxa"/>
            <w:shd w:val="clear" w:color="auto" w:fill="8DB3E2"/>
            <w:vAlign w:val="center"/>
          </w:tcPr>
          <w:p w:rsidR="00EF3B83" w:rsidRDefault="00AC65D2" w:rsidP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Purpose of the role</w:t>
            </w:r>
          </w:p>
        </w:tc>
      </w:tr>
      <w:tr w:rsidR="00EF3B83" w:rsidTr="00AC65D2"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:rsidR="00EF3B83" w:rsidRDefault="00AC65D2" w:rsidP="00AC6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456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To support teaching staff to meet the academic, pastoral and other needs of students within art and design technology, thereby maximising the experience and achievement of each student</w:t>
            </w:r>
          </w:p>
          <w:p w:rsidR="00EF3B83" w:rsidRDefault="00AC65D2" w:rsidP="00AC6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6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To ensure the smooth running of the art and design technology faculty</w:t>
            </w:r>
          </w:p>
        </w:tc>
      </w:tr>
    </w:tbl>
    <w:p w:rsidR="00EF3B83" w:rsidRDefault="00EF3B83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3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EF3B83" w:rsidTr="00AC65D2">
        <w:tc>
          <w:tcPr>
            <w:tcW w:w="9356" w:type="dxa"/>
            <w:shd w:val="clear" w:color="auto" w:fill="8DB3E2"/>
            <w:vAlign w:val="center"/>
          </w:tcPr>
          <w:p w:rsidR="00EF3B83" w:rsidRDefault="00AC65D2" w:rsidP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Main Duties and Responsibilities</w:t>
            </w:r>
          </w:p>
        </w:tc>
      </w:tr>
      <w:tr w:rsidR="00EF3B83" w:rsidTr="00AC65D2"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:rsidR="00EF3B83" w:rsidRDefault="00AC65D2" w:rsidP="00AC6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Working under direction and instruction, liaising closely with teaching and support staff in ensuring safe practices are observed at all times, to: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Organise and prepare materials and ingredients as required by the subject teacher prior to lessons (training on technolo</w:t>
            </w:r>
            <w:r>
              <w:rPr>
                <w:rFonts w:ascii="Arial" w:eastAsia="Arial" w:hAnsi="Arial" w:cs="Arial"/>
              </w:rPr>
              <w:t>gy equipment will be provided)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Ensure tools, materials and equipment are maintained in optimum condition (in good order and safe to use)</w:t>
            </w:r>
            <w:r>
              <w:rPr>
                <w:rFonts w:ascii="Arial" w:eastAsia="Arial" w:hAnsi="Arial" w:cs="Arial"/>
                <w:color w:val="000000"/>
              </w:rPr>
              <w:t xml:space="preserve"> and, where relevant, stored correctly and safely. Report any needs for major repair or servicing, as necessary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Ensure the classrooms, storage and preparation rooms are clean, tidy and organised so they are safe environments to work in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Assist teaching staff with student supervision during practical lessons, where appropriate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Instruct students on use of specialist equipment and assist them with operation of such equipment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Assist students in the selection and collection of materials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Provid</w:t>
            </w:r>
            <w:r>
              <w:rPr>
                <w:rFonts w:ascii="Arial" w:eastAsia="Arial" w:hAnsi="Arial" w:cs="Arial"/>
                <w:color w:val="000000"/>
              </w:rPr>
              <w:t>e advice to students on ideas for and structure of projects and portfolios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Prepare materials/resources for lessons, activities, demonstrations and exams, as instructed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Assist teaching staff with preparing and updating exhibitions and displays of students’ </w:t>
            </w:r>
            <w:r>
              <w:rPr>
                <w:rFonts w:ascii="Arial" w:eastAsia="Arial" w:hAnsi="Arial" w:cs="Arial"/>
                <w:color w:val="000000"/>
              </w:rPr>
              <w:t>work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Stock-taking and ordering of materials, ingredients and equipment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Provide general clerical support (photocopying, filing, inputting data) and undertake basic record keeping, as required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Assist with the organisation of trips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Ensure that all health &amp; safety requirements are met and records maintained including equipment checks, risk assessments and COSHH</w:t>
            </w:r>
          </w:p>
          <w:p w:rsidR="00EF3B83" w:rsidRDefault="00AC65D2" w:rsidP="00AC6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assist teaching staff in promoting and raising the profile of the art and design technology faculty</w:t>
            </w:r>
          </w:p>
        </w:tc>
      </w:tr>
      <w:tr w:rsidR="00EF3B83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:rsidR="00EF3B83" w:rsidRDefault="00EF3B8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F3B83" w:rsidTr="00AC65D2">
        <w:tc>
          <w:tcPr>
            <w:tcW w:w="9356" w:type="dxa"/>
            <w:shd w:val="clear" w:color="auto" w:fill="8DB3E2"/>
            <w:vAlign w:val="center"/>
          </w:tcPr>
          <w:p w:rsidR="00EF3B83" w:rsidRDefault="00AC65D2" w:rsidP="00AC6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</w:t>
            </w:r>
          </w:p>
        </w:tc>
      </w:tr>
      <w:tr w:rsidR="00EF3B83" w:rsidTr="00AC65D2">
        <w:tc>
          <w:tcPr>
            <w:tcW w:w="9356" w:type="dxa"/>
            <w:vAlign w:val="center"/>
          </w:tcPr>
          <w:p w:rsidR="00EF3B83" w:rsidRDefault="00AC65D2" w:rsidP="00AC6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 monitor supplies of stock and inform line manager when further supplies of resources or ingredients are required; check goods delivered against orders and storing appropriately; carry out stock taking and inventory checks. </w:t>
            </w:r>
          </w:p>
          <w:p w:rsidR="00EF3B83" w:rsidRDefault="00AC65D2" w:rsidP="00AC6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record breakages and loans</w:t>
            </w:r>
            <w:r>
              <w:rPr>
                <w:rFonts w:ascii="Arial" w:eastAsia="Arial" w:hAnsi="Arial" w:cs="Arial"/>
                <w:color w:val="000000"/>
              </w:rPr>
              <w:t xml:space="preserve">, in accordance with school policy, and assist with department filing, including maintenance of up to date catalogues and price lists. </w:t>
            </w:r>
          </w:p>
          <w:p w:rsidR="00EF3B83" w:rsidRDefault="00AC65D2" w:rsidP="00AC6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assist with the preparation of materials for lessons, display and projects.</w:t>
            </w:r>
          </w:p>
          <w:p w:rsidR="00EF3B83" w:rsidRDefault="00AC65D2" w:rsidP="00AC6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6" w:hanging="284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To assist in setting up for practical lessons and demonstrations.</w:t>
            </w:r>
          </w:p>
        </w:tc>
      </w:tr>
    </w:tbl>
    <w:p w:rsidR="00EF3B83" w:rsidRDefault="00EF3B8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EF3B83" w:rsidTr="00AC65D2">
        <w:tc>
          <w:tcPr>
            <w:tcW w:w="9356" w:type="dxa"/>
            <w:shd w:val="clear" w:color="auto" w:fill="8DB3E2"/>
            <w:vAlign w:val="center"/>
          </w:tcPr>
          <w:p w:rsidR="00EF3B83" w:rsidRDefault="00AC65D2" w:rsidP="00AC65D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Continuing Professional Development</w:t>
            </w:r>
          </w:p>
        </w:tc>
      </w:tr>
      <w:tr w:rsidR="00EF3B83" w:rsidTr="00AC65D2"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:rsidR="00EF3B83" w:rsidRDefault="00AC65D2" w:rsidP="00AC6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456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Take responsibility for personal development, keeping up-to-date with research and developments and changes in the school curriculum</w:t>
            </w:r>
          </w:p>
          <w:p w:rsidR="00EF3B83" w:rsidRDefault="00AC65D2" w:rsidP="00AC6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6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Undertake any necessary professional development, as identified</w:t>
            </w:r>
          </w:p>
        </w:tc>
      </w:tr>
      <w:tr w:rsidR="00EF3B83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:rsidR="00EF3B83" w:rsidRDefault="00EF3B8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F3B83" w:rsidTr="00AC65D2">
        <w:tc>
          <w:tcPr>
            <w:tcW w:w="9356" w:type="dxa"/>
            <w:shd w:val="clear" w:color="auto" w:fill="8DB3E2"/>
            <w:vAlign w:val="center"/>
          </w:tcPr>
          <w:p w:rsidR="00EF3B83" w:rsidRDefault="00AC65D2" w:rsidP="00AC6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Additional Duties</w:t>
            </w:r>
          </w:p>
        </w:tc>
      </w:tr>
      <w:tr w:rsidR="00EF3B83" w:rsidTr="00AC65D2">
        <w:tc>
          <w:tcPr>
            <w:tcW w:w="9356" w:type="dxa"/>
            <w:vAlign w:val="center"/>
          </w:tcPr>
          <w:p w:rsidR="00EF3B83" w:rsidRDefault="00AC65D2" w:rsidP="00AC6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56"/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</w:rPr>
              <w:t>Contribute to the life of The Avon Valley School and Performing Arts College, and support its ethos and policies</w:t>
            </w:r>
          </w:p>
        </w:tc>
      </w:tr>
    </w:tbl>
    <w:p w:rsidR="00EF3B83" w:rsidRDefault="00EF3B83">
      <w:pPr>
        <w:spacing w:after="0"/>
        <w:ind w:left="-142"/>
        <w:rPr>
          <w:rFonts w:ascii="Arial" w:eastAsia="Arial" w:hAnsi="Arial" w:cs="Arial"/>
          <w:color w:val="000000"/>
          <w:sz w:val="20"/>
          <w:szCs w:val="20"/>
        </w:rPr>
      </w:pPr>
    </w:p>
    <w:p w:rsidR="00EF3B83" w:rsidRDefault="00EF3B83">
      <w:pPr>
        <w:spacing w:after="0"/>
        <w:ind w:left="-142"/>
        <w:rPr>
          <w:rFonts w:ascii="Arial" w:eastAsia="Arial" w:hAnsi="Arial" w:cs="Arial"/>
          <w:color w:val="000000"/>
          <w:sz w:val="20"/>
          <w:szCs w:val="20"/>
        </w:rPr>
      </w:pPr>
    </w:p>
    <w:p w:rsidR="00EF3B83" w:rsidRDefault="00AC65D2">
      <w:pPr>
        <w:spacing w:after="0"/>
        <w:ind w:left="-14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This job description may be reviewed and be subject to amendment or modification after consultation with the post holder. It is not a comprehensive statement of procedures and tasks, but sets out the main expectations of the School in rela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tion to the post </w:t>
      </w:r>
      <w:r>
        <w:rPr>
          <w:rFonts w:ascii="Arial" w:eastAsia="Arial" w:hAnsi="Arial" w:cs="Arial"/>
          <w:color w:val="000000"/>
          <w:sz w:val="20"/>
          <w:szCs w:val="20"/>
        </w:rPr>
        <w:t>holder’s professional responsibilities and duties.</w:t>
      </w:r>
    </w:p>
    <w:p w:rsidR="00EF3B83" w:rsidRDefault="00EF3B83">
      <w:pPr>
        <w:spacing w:after="0"/>
        <w:ind w:left="-142"/>
        <w:rPr>
          <w:rFonts w:ascii="Arial" w:eastAsia="Arial" w:hAnsi="Arial" w:cs="Arial"/>
          <w:color w:val="000000"/>
        </w:rPr>
      </w:pPr>
    </w:p>
    <w:p w:rsidR="00EF3B83" w:rsidRDefault="00AC65D2">
      <w:pPr>
        <w:spacing w:after="0"/>
        <w:ind w:left="-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Safer Recruitment Statement:</w:t>
      </w:r>
    </w:p>
    <w:p w:rsidR="00EF3B83" w:rsidRDefault="00AC65D2">
      <w:pPr>
        <w:spacing w:after="0"/>
        <w:ind w:left="-142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We are committed to safeguarding and promoting the welfare of children and young people and we expect all staff and volunteers to share this commitment. This post requires Enhanced Disclosure (DBS).</w:t>
      </w:r>
    </w:p>
    <w:p w:rsidR="00EF3B83" w:rsidRDefault="00EF3B83"/>
    <w:sectPr w:rsidR="00EF3B83">
      <w:headerReference w:type="default" r:id="rId8"/>
      <w:footerReference w:type="default" r:id="rId9"/>
      <w:pgSz w:w="11906" w:h="16838"/>
      <w:pgMar w:top="1440" w:right="1274" w:bottom="851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65D2">
      <w:pPr>
        <w:spacing w:after="0" w:line="240" w:lineRule="auto"/>
      </w:pPr>
      <w:r>
        <w:separator/>
      </w:r>
    </w:p>
  </w:endnote>
  <w:endnote w:type="continuationSeparator" w:id="0">
    <w:p w:rsidR="00000000" w:rsidRDefault="00AC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83" w:rsidRDefault="00AC65D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17365D"/>
        <w:sz w:val="24"/>
        <w:szCs w:val="24"/>
      </w:rPr>
    </w:pPr>
    <w:proofErr w:type="gramStart"/>
    <w:r>
      <w:rPr>
        <w:rFonts w:ascii="Arial" w:eastAsia="Arial" w:hAnsi="Arial" w:cs="Arial"/>
        <w:color w:val="17365D"/>
        <w:sz w:val="26"/>
        <w:szCs w:val="26"/>
      </w:rPr>
      <w:t>Ambition  |</w:t>
    </w:r>
    <w:proofErr w:type="gramEnd"/>
    <w:r>
      <w:rPr>
        <w:rFonts w:ascii="Arial" w:eastAsia="Arial" w:hAnsi="Arial" w:cs="Arial"/>
        <w:color w:val="17365D"/>
        <w:sz w:val="26"/>
        <w:szCs w:val="26"/>
      </w:rPr>
      <w:t xml:space="preserve">   Respect   |  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65D2">
      <w:pPr>
        <w:spacing w:after="0" w:line="240" w:lineRule="auto"/>
      </w:pPr>
      <w:r>
        <w:separator/>
      </w:r>
    </w:p>
  </w:footnote>
  <w:footnote w:type="continuationSeparator" w:id="0">
    <w:p w:rsidR="00000000" w:rsidRDefault="00AC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83" w:rsidRDefault="00AC6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-883918</wp:posOffset>
          </wp:positionH>
          <wp:positionV relativeFrom="paragraph">
            <wp:posOffset>-354329</wp:posOffset>
          </wp:positionV>
          <wp:extent cx="7510366" cy="1392072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0366" cy="1392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63C9"/>
    <w:multiLevelType w:val="multilevel"/>
    <w:tmpl w:val="D214F7F2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F45011"/>
    <w:multiLevelType w:val="multilevel"/>
    <w:tmpl w:val="B970A12E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ablebullet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ableBulletList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D96E7D"/>
    <w:multiLevelType w:val="multilevel"/>
    <w:tmpl w:val="092A0F54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4476C2"/>
    <w:multiLevelType w:val="multilevel"/>
    <w:tmpl w:val="63AAE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C66508"/>
    <w:multiLevelType w:val="multilevel"/>
    <w:tmpl w:val="6D4EB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83"/>
    <w:rsid w:val="00AC65D2"/>
    <w:rsid w:val="00E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BA65"/>
  <w15:docId w15:val="{968A36BE-5D79-4B7F-BE4E-413844B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16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03FE"/>
  </w:style>
  <w:style w:type="paragraph" w:styleId="Footer">
    <w:name w:val="footer"/>
    <w:basedOn w:val="Normal"/>
    <w:link w:val="Foot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03FE"/>
  </w:style>
  <w:style w:type="paragraph" w:customStyle="1" w:styleId="Tablenormal0">
    <w:name w:val="Table normal"/>
    <w:basedOn w:val="Normal"/>
    <w:qFormat/>
    <w:rsid w:val="000A2FBE"/>
    <w:pPr>
      <w:spacing w:before="40" w:after="40" w:line="240" w:lineRule="auto"/>
    </w:pPr>
    <w:rPr>
      <w:rFonts w:eastAsiaTheme="minorHAnsi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0A2FBE"/>
    <w:pPr>
      <w:ind w:left="720"/>
      <w:contextualSpacing/>
    </w:pPr>
  </w:style>
  <w:style w:type="paragraph" w:customStyle="1" w:styleId="Tablebullet">
    <w:name w:val="Table bullet"/>
    <w:basedOn w:val="Tablenormal0"/>
    <w:rsid w:val="000A2FBE"/>
    <w:pPr>
      <w:numPr>
        <w:numId w:val="5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A2FBE"/>
    <w:pPr>
      <w:numPr>
        <w:ilvl w:val="1"/>
        <w:numId w:val="5"/>
      </w:numPr>
    </w:pPr>
  </w:style>
  <w:style w:type="paragraph" w:customStyle="1" w:styleId="TableBulletListLevel3">
    <w:name w:val="Table Bullet List Level 3"/>
    <w:basedOn w:val="Normal"/>
    <w:uiPriority w:val="11"/>
    <w:semiHidden/>
    <w:rsid w:val="000A2FBE"/>
    <w:pPr>
      <w:numPr>
        <w:ilvl w:val="2"/>
        <w:numId w:val="5"/>
      </w:numPr>
      <w:spacing w:before="60" w:after="60" w:line="260" w:lineRule="atLeast"/>
    </w:pPr>
    <w:rPr>
      <w:rFonts w:eastAsiaTheme="minorHAnsi"/>
      <w:szCs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1C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7053A"/>
    <w:pPr>
      <w:spacing w:after="0"/>
    </w:pPr>
    <w:rPr>
      <w:rFonts w:cs="Times New Roman"/>
    </w:rPr>
  </w:style>
  <w:style w:type="character" w:customStyle="1" w:styleId="hkxmid">
    <w:name w:val="hkxmid"/>
    <w:basedOn w:val="DefaultParagraphFont"/>
    <w:rsid w:val="00197A03"/>
  </w:style>
  <w:style w:type="character" w:customStyle="1" w:styleId="us2qzb">
    <w:name w:val="us2qzb"/>
    <w:basedOn w:val="DefaultParagraphFont"/>
    <w:rsid w:val="00197A03"/>
  </w:style>
  <w:style w:type="paragraph" w:styleId="NormalWeb">
    <w:name w:val="Normal (Web)"/>
    <w:basedOn w:val="Normal"/>
    <w:uiPriority w:val="99"/>
    <w:unhideWhenUsed/>
    <w:rsid w:val="00B8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B6eknH66JQF82r7KXI7x9XgQA==">CgMxLjAyCGguZ2pkZ3hzOAByITEwT0E3a2JVcC1RaFJIZHZadGRkV0NnMmZNN0tJQm94Yg==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Kathleen Watts</cp:lastModifiedBy>
  <cp:revision>2</cp:revision>
  <cp:lastPrinted>2024-10-10T12:39:00Z</cp:lastPrinted>
  <dcterms:created xsi:type="dcterms:W3CDTF">2024-10-10T13:02:00Z</dcterms:created>
  <dcterms:modified xsi:type="dcterms:W3CDTF">2024-10-10T13:02:00Z</dcterms:modified>
</cp:coreProperties>
</file>